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9A" w:rsidRPr="00FB129A" w:rsidRDefault="00FB129A">
      <w:pPr>
        <w:rPr>
          <w:b/>
        </w:rPr>
      </w:pPr>
      <w:r w:rsidRPr="00FB129A">
        <w:rPr>
          <w:b/>
        </w:rPr>
        <w:t>Pilot selection conclusions</w:t>
      </w:r>
    </w:p>
    <w:p w:rsidR="00FB129A" w:rsidRDefault="00FB129A"/>
    <w:p w:rsidR="00FB129A" w:rsidRDefault="00FB129A" w:rsidP="00FB129A">
      <w:pPr>
        <w:pStyle w:val="ListParagraph"/>
        <w:numPr>
          <w:ilvl w:val="0"/>
          <w:numId w:val="1"/>
        </w:numPr>
      </w:pPr>
      <w:r>
        <w:t>reviewed 13 proposals based on following criteria (according to pre-defined points system):</w:t>
      </w:r>
    </w:p>
    <w:p w:rsidR="00FB129A" w:rsidRDefault="00FB129A" w:rsidP="00FB129A"/>
    <w:p w:rsidR="00FB129A" w:rsidRPr="00DC05D6" w:rsidRDefault="00FB129A" w:rsidP="00FB129A">
      <w:pPr>
        <w:pBdr>
          <w:top w:val="single" w:sz="36" w:space="1" w:color="auto"/>
          <w:left w:val="single" w:sz="36" w:space="4" w:color="auto"/>
          <w:bottom w:val="single" w:sz="36" w:space="1" w:color="auto"/>
          <w:right w:val="single" w:sz="36" w:space="4" w:color="auto"/>
        </w:pBdr>
        <w:rPr>
          <w:b/>
        </w:rPr>
      </w:pPr>
      <w:r>
        <w:rPr>
          <w:b/>
        </w:rPr>
        <w:t>Criteria for selecting pilot projects</w:t>
      </w:r>
    </w:p>
    <w:p w:rsidR="00FB129A" w:rsidRDefault="00FB129A" w:rsidP="00FB129A">
      <w:pPr>
        <w:pBdr>
          <w:top w:val="single" w:sz="36" w:space="1" w:color="auto"/>
          <w:left w:val="single" w:sz="36" w:space="4" w:color="auto"/>
          <w:bottom w:val="single" w:sz="36" w:space="1" w:color="auto"/>
          <w:right w:val="single" w:sz="36" w:space="4" w:color="auto"/>
        </w:pBdr>
      </w:pPr>
    </w:p>
    <w:p w:rsidR="00FB129A" w:rsidRDefault="00FB129A" w:rsidP="00FB129A">
      <w:pPr>
        <w:pBdr>
          <w:top w:val="single" w:sz="36" w:space="1" w:color="auto"/>
          <w:left w:val="single" w:sz="36" w:space="4" w:color="auto"/>
          <w:bottom w:val="single" w:sz="36" w:space="1" w:color="auto"/>
          <w:right w:val="single" w:sz="36" w:space="4" w:color="auto"/>
        </w:pBdr>
      </w:pPr>
      <w:r>
        <w:t>1. Does proposal meet with existing criteria (ref. EWG.1/INF/5)</w:t>
      </w:r>
      <w:proofErr w:type="gramStart"/>
      <w:r>
        <w:t>:</w:t>
      </w:r>
      <w:proofErr w:type="gramEnd"/>
      <w:r>
        <w:t xml:space="preserve"> </w:t>
      </w:r>
    </w:p>
    <w:p w:rsidR="00FB129A" w:rsidRDefault="00FB129A" w:rsidP="00FB129A">
      <w:pPr>
        <w:pBdr>
          <w:top w:val="single" w:sz="36" w:space="1" w:color="auto"/>
          <w:left w:val="single" w:sz="36" w:space="4" w:color="auto"/>
          <w:bottom w:val="single" w:sz="36" w:space="1" w:color="auto"/>
          <w:right w:val="single" w:sz="36" w:space="4" w:color="auto"/>
        </w:pBdr>
      </w:pPr>
    </w:p>
    <w:p w:rsidR="00FB129A" w:rsidRDefault="00FB129A" w:rsidP="00FB129A">
      <w:pPr>
        <w:pBdr>
          <w:top w:val="single" w:sz="36" w:space="1" w:color="auto"/>
          <w:left w:val="single" w:sz="36" w:space="4" w:color="auto"/>
          <w:bottom w:val="single" w:sz="36" w:space="1" w:color="auto"/>
          <w:right w:val="single" w:sz="36" w:space="4" w:color="auto"/>
        </w:pBdr>
      </w:pPr>
      <w:r>
        <w:t>(a)</w:t>
      </w:r>
      <w:r>
        <w:tab/>
        <w:t>Does it demonstrate that ensuring ESM is feasible?</w:t>
      </w:r>
    </w:p>
    <w:p w:rsidR="00FB129A" w:rsidRDefault="00FB129A" w:rsidP="00FB129A">
      <w:pPr>
        <w:pBdr>
          <w:top w:val="single" w:sz="36" w:space="1" w:color="auto"/>
          <w:left w:val="single" w:sz="36" w:space="4" w:color="auto"/>
          <w:bottom w:val="single" w:sz="36" w:space="1" w:color="auto"/>
          <w:right w:val="single" w:sz="36" w:space="4" w:color="auto"/>
        </w:pBdr>
        <w:ind w:left="720" w:hanging="720"/>
      </w:pPr>
      <w:r>
        <w:t>(b)</w:t>
      </w:r>
      <w:r>
        <w:tab/>
        <w:t>Does it illustrate how the instruments that are developed under the Basel Convention can help Parties and others in their activities to apply ESM?</w:t>
      </w:r>
    </w:p>
    <w:p w:rsidR="00FB129A" w:rsidRDefault="00FB129A" w:rsidP="00FB129A">
      <w:pPr>
        <w:pBdr>
          <w:top w:val="single" w:sz="36" w:space="1" w:color="auto"/>
          <w:left w:val="single" w:sz="36" w:space="4" w:color="auto"/>
          <w:bottom w:val="single" w:sz="36" w:space="1" w:color="auto"/>
          <w:right w:val="single" w:sz="36" w:space="4" w:color="auto"/>
        </w:pBdr>
        <w:ind w:left="720" w:hanging="720"/>
      </w:pPr>
      <w:r>
        <w:t>(c)</w:t>
      </w:r>
      <w:r>
        <w:tab/>
        <w:t>Will it provide practical examples of how Parties and other stakeholders can succeed in improving their work?</w:t>
      </w:r>
    </w:p>
    <w:p w:rsidR="00FB129A" w:rsidRDefault="00FB129A" w:rsidP="00FB129A">
      <w:pPr>
        <w:pBdr>
          <w:top w:val="single" w:sz="36" w:space="1" w:color="auto"/>
          <w:left w:val="single" w:sz="36" w:space="4" w:color="auto"/>
          <w:bottom w:val="single" w:sz="36" w:space="1" w:color="auto"/>
          <w:right w:val="single" w:sz="36" w:space="4" w:color="auto"/>
        </w:pBdr>
        <w:ind w:left="720" w:hanging="720"/>
      </w:pPr>
      <w:r>
        <w:t>(d)</w:t>
      </w:r>
      <w:r>
        <w:tab/>
        <w:t>Will it provide feedback on how useful the tools are that have been developed in the context of the Basel Convention and provide ideas for improvement or additional tools?</w:t>
      </w:r>
    </w:p>
    <w:p w:rsidR="00FB129A" w:rsidRDefault="00FB129A" w:rsidP="00FB129A">
      <w:pPr>
        <w:pBdr>
          <w:top w:val="single" w:sz="36" w:space="1" w:color="auto"/>
          <w:left w:val="single" w:sz="36" w:space="4" w:color="auto"/>
          <w:bottom w:val="single" w:sz="36" w:space="1" w:color="auto"/>
          <w:right w:val="single" w:sz="36" w:space="4" w:color="auto"/>
        </w:pBdr>
      </w:pPr>
    </w:p>
    <w:p w:rsidR="00FB129A" w:rsidRDefault="00FB129A" w:rsidP="00FB129A">
      <w:pPr>
        <w:pBdr>
          <w:top w:val="single" w:sz="36" w:space="1" w:color="auto"/>
          <w:left w:val="single" w:sz="36" w:space="4" w:color="auto"/>
          <w:bottom w:val="single" w:sz="36" w:space="1" w:color="auto"/>
          <w:right w:val="single" w:sz="36" w:space="4" w:color="auto"/>
        </w:pBdr>
      </w:pPr>
      <w:r>
        <w:t xml:space="preserve">2. Is the proposal technically sound? </w:t>
      </w:r>
    </w:p>
    <w:p w:rsidR="00FB129A" w:rsidRDefault="00FB129A" w:rsidP="00FB129A">
      <w:pPr>
        <w:pBdr>
          <w:top w:val="single" w:sz="36" w:space="1" w:color="auto"/>
          <w:left w:val="single" w:sz="36" w:space="4" w:color="auto"/>
          <w:bottom w:val="single" w:sz="36" w:space="1" w:color="auto"/>
          <w:right w:val="single" w:sz="36" w:space="4" w:color="auto"/>
        </w:pBdr>
      </w:pPr>
    </w:p>
    <w:p w:rsidR="00FB129A" w:rsidRDefault="00FB129A" w:rsidP="00FB129A">
      <w:pPr>
        <w:pBdr>
          <w:top w:val="single" w:sz="36" w:space="1" w:color="auto"/>
          <w:left w:val="single" w:sz="36" w:space="4" w:color="auto"/>
          <w:bottom w:val="single" w:sz="36" w:space="1" w:color="auto"/>
          <w:right w:val="single" w:sz="36" w:space="4" w:color="auto"/>
        </w:pBdr>
      </w:pPr>
      <w:r>
        <w:t xml:space="preserve">3. Is there regional balance? </w:t>
      </w:r>
    </w:p>
    <w:p w:rsidR="008F6C56" w:rsidRDefault="008F6C56" w:rsidP="00FB129A"/>
    <w:p w:rsidR="008F6C56" w:rsidRDefault="008F6C56" w:rsidP="008F6C56">
      <w:pPr>
        <w:pStyle w:val="ListParagraph"/>
        <w:numPr>
          <w:ilvl w:val="0"/>
          <w:numId w:val="1"/>
        </w:numPr>
      </w:pPr>
      <w:r>
        <w:t xml:space="preserve">the project from Argentina on financial guarantee (40-50K) and the project from China (20K) on ULAB were assessed to be the strongest in meeting the above criteria </w:t>
      </w:r>
    </w:p>
    <w:p w:rsidR="008F6C56" w:rsidRDefault="008F6C56" w:rsidP="008F6C56">
      <w:pPr>
        <w:pStyle w:val="ListParagraph"/>
      </w:pPr>
    </w:p>
    <w:p w:rsidR="008F6C56" w:rsidRDefault="008F6C56" w:rsidP="008F6C56">
      <w:pPr>
        <w:pStyle w:val="ListParagraph"/>
        <w:numPr>
          <w:ilvl w:val="0"/>
          <w:numId w:val="1"/>
        </w:numPr>
      </w:pPr>
      <w:proofErr w:type="gramStart"/>
      <w:r>
        <w:t>after</w:t>
      </w:r>
      <w:proofErr w:type="gramEnd"/>
      <w:r>
        <w:t xml:space="preserve"> this, there was a group of projects that achieved high scores against the selection criteria (i.e. a “second” group).  These are: </w:t>
      </w:r>
    </w:p>
    <w:p w:rsidR="008F6C56" w:rsidRDefault="008F6C56" w:rsidP="008F6C56"/>
    <w:p w:rsidR="008F6C56" w:rsidRDefault="008F6C56" w:rsidP="008F6C56">
      <w:pPr>
        <w:pStyle w:val="ListParagraph"/>
        <w:numPr>
          <w:ilvl w:val="1"/>
          <w:numId w:val="1"/>
        </w:numPr>
      </w:pPr>
      <w:r>
        <w:t>Argentina prevention project</w:t>
      </w:r>
    </w:p>
    <w:p w:rsidR="008F6C56" w:rsidRDefault="008F6C56" w:rsidP="008F6C56">
      <w:pPr>
        <w:pStyle w:val="ListParagraph"/>
        <w:numPr>
          <w:ilvl w:val="1"/>
          <w:numId w:val="1"/>
        </w:numPr>
      </w:pPr>
      <w:r>
        <w:t>BCRC CAM waste exchange system</w:t>
      </w:r>
    </w:p>
    <w:p w:rsidR="008F6C56" w:rsidRDefault="008F6C56" w:rsidP="008F6C56">
      <w:pPr>
        <w:pStyle w:val="ListParagraph"/>
        <w:numPr>
          <w:ilvl w:val="1"/>
          <w:numId w:val="1"/>
        </w:numPr>
      </w:pPr>
      <w:r>
        <w:t>Egypt e-waste inventory</w:t>
      </w:r>
    </w:p>
    <w:p w:rsidR="008F6C56" w:rsidRDefault="008F6C56" w:rsidP="008F6C56">
      <w:pPr>
        <w:pStyle w:val="ListParagraph"/>
        <w:numPr>
          <w:ilvl w:val="1"/>
          <w:numId w:val="1"/>
        </w:numPr>
      </w:pPr>
      <w:r>
        <w:t>Liberia awareness raising and training (medical waste)</w:t>
      </w:r>
    </w:p>
    <w:p w:rsidR="008F6C56" w:rsidRDefault="008F6C56" w:rsidP="008F6C56">
      <w:pPr>
        <w:pStyle w:val="ListParagraph"/>
        <w:numPr>
          <w:ilvl w:val="1"/>
          <w:numId w:val="1"/>
        </w:numPr>
      </w:pPr>
      <w:r>
        <w:t>BCRC Slovakia establishing collection and ESM of waste</w:t>
      </w:r>
    </w:p>
    <w:p w:rsidR="008F6C56" w:rsidRDefault="008F6C56" w:rsidP="008F6C56">
      <w:pPr>
        <w:pStyle w:val="ListParagraph"/>
        <w:numPr>
          <w:ilvl w:val="1"/>
          <w:numId w:val="1"/>
        </w:numPr>
      </w:pPr>
      <w:r>
        <w:t>Trinidad and Tobago establishing collection, recycling… for e-waste</w:t>
      </w:r>
    </w:p>
    <w:p w:rsidR="008F6C56" w:rsidRDefault="008F6C56" w:rsidP="008F6C56"/>
    <w:p w:rsidR="003D0E69" w:rsidRDefault="008F6C56" w:rsidP="008F6C56">
      <w:pPr>
        <w:pStyle w:val="ListParagraph"/>
        <w:numPr>
          <w:ilvl w:val="0"/>
          <w:numId w:val="1"/>
        </w:numPr>
      </w:pPr>
      <w:proofErr w:type="gramStart"/>
      <w:r>
        <w:t>it</w:t>
      </w:r>
      <w:proofErr w:type="gramEnd"/>
      <w:r>
        <w:t xml:space="preserve"> is recommended that the Secretariat and donor countries contact the proponents to discuss the arrangements for commencement of the projects for Argentina and China.  It is suggested that the project proposed by China be expanded to include other countries, which have budgetary implications.</w:t>
      </w:r>
    </w:p>
    <w:p w:rsidR="003D0E69" w:rsidRDefault="003D0E69" w:rsidP="003D0E69"/>
    <w:p w:rsidR="008F6C56" w:rsidRDefault="003D0E69" w:rsidP="003D0E69">
      <w:pPr>
        <w:pStyle w:val="ListParagraph"/>
        <w:numPr>
          <w:ilvl w:val="0"/>
          <w:numId w:val="1"/>
        </w:numPr>
      </w:pPr>
      <w:proofErr w:type="gramStart"/>
      <w:r>
        <w:t>it</w:t>
      </w:r>
      <w:proofErr w:type="gramEnd"/>
      <w:r>
        <w:t xml:space="preserve"> is also recommended that if pilot projects continue to be part of the work </w:t>
      </w:r>
      <w:proofErr w:type="spellStart"/>
      <w:r>
        <w:t>programme</w:t>
      </w:r>
      <w:proofErr w:type="spellEnd"/>
      <w:r>
        <w:t xml:space="preserve"> of the EWG that an assessment process, including development of criteria, an evaluation process and follow-up activities, be developed.  We suggest that the Secretariat develops a suggested process for consideration by the EWG (to insert in work </w:t>
      </w:r>
      <w:proofErr w:type="spellStart"/>
      <w:r>
        <w:t>programme</w:t>
      </w:r>
      <w:proofErr w:type="spellEnd"/>
      <w:r>
        <w:t>).</w:t>
      </w:r>
    </w:p>
    <w:p w:rsidR="008F6C56" w:rsidRDefault="008F6C56" w:rsidP="008F6C56">
      <w:pPr>
        <w:pStyle w:val="ListParagraph"/>
      </w:pPr>
    </w:p>
    <w:p w:rsidR="008F6C56" w:rsidRDefault="008F6C56" w:rsidP="008F6C56"/>
    <w:p w:rsidR="008F6C56" w:rsidRDefault="008F6C56" w:rsidP="008F6C56">
      <w:pPr>
        <w:pStyle w:val="ListParagraph"/>
      </w:pPr>
    </w:p>
    <w:p w:rsidR="00CE020D" w:rsidRDefault="005F322A" w:rsidP="008F6C56">
      <w:pPr>
        <w:pStyle w:val="ListParagraph"/>
        <w:ind w:left="1440"/>
      </w:pPr>
    </w:p>
    <w:sectPr w:rsidR="00CE020D" w:rsidSect="00CE3C4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90DA8"/>
    <w:multiLevelType w:val="hybridMultilevel"/>
    <w:tmpl w:val="D10E7BA6"/>
    <w:lvl w:ilvl="0" w:tplc="7E003E72">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2628E"/>
    <w:rsid w:val="0002628E"/>
    <w:rsid w:val="003D0E69"/>
    <w:rsid w:val="005F322A"/>
    <w:rsid w:val="008F6C56"/>
    <w:rsid w:val="00D4028D"/>
    <w:rsid w:val="00FB129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9A"/>
    <w:pPr>
      <w:ind w:left="720"/>
      <w:contextualSpacing/>
    </w:pPr>
  </w:style>
</w:styles>
</file>

<file path=word/webSettings.xml><?xml version="1.0" encoding="utf-8"?>
<w:webSettings xmlns:r="http://schemas.openxmlformats.org/officeDocument/2006/relationships" xmlns:w="http://schemas.openxmlformats.org/wordprocessingml/2006/main">
  <w:divs>
    <w:div w:id="1884516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0</DocSecurity>
  <Lines>14</Lines>
  <Paragraphs>4</Paragraphs>
  <ScaleCrop>false</ScaleCrop>
  <Company>UNEP</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Wingfield</dc:creator>
  <cp:lastModifiedBy>yewang</cp:lastModifiedBy>
  <cp:revision>2</cp:revision>
  <dcterms:created xsi:type="dcterms:W3CDTF">2015-01-23T11:26:00Z</dcterms:created>
  <dcterms:modified xsi:type="dcterms:W3CDTF">2015-01-23T11:26:00Z</dcterms:modified>
</cp:coreProperties>
</file>